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3F06" w14:textId="77777777" w:rsidR="00337FBC" w:rsidRPr="006071A5" w:rsidRDefault="00FC128D" w:rsidP="006071A5">
      <w:pPr>
        <w:spacing w:line="360" w:lineRule="auto"/>
        <w:rPr>
          <w:rFonts w:ascii="Times New Roman" w:hAnsi="Times New Roman" w:cstheme="minorHAnsi"/>
          <w:sz w:val="28"/>
          <w:szCs w:val="28"/>
        </w:rPr>
      </w:pPr>
      <w:r w:rsidRPr="006071A5">
        <w:rPr>
          <w:rFonts w:ascii="Times New Roman" w:hAnsi="Times New Roman" w:cstheme="minorHAnsi"/>
          <w:sz w:val="28"/>
          <w:szCs w:val="28"/>
        </w:rPr>
        <w:t>Lumijoen kunnan kulttuuriavustusten myöntämisperiaatteet</w:t>
      </w:r>
    </w:p>
    <w:p w14:paraId="3088916A" w14:textId="77777777" w:rsidR="00FC128D" w:rsidRPr="006071A5" w:rsidRDefault="00FC128D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>Kulttuuriavustusten myöntäminen:</w:t>
      </w:r>
    </w:p>
    <w:p w14:paraId="023F5263" w14:textId="77777777" w:rsidR="00FC128D" w:rsidRDefault="00FC128D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 w:rsidRPr="006071A5">
        <w:rPr>
          <w:rFonts w:ascii="Times New Roman" w:hAnsi="Times New Roman" w:cstheme="minorHAnsi"/>
          <w:sz w:val="24"/>
          <w:szCs w:val="24"/>
        </w:rPr>
        <w:t xml:space="preserve">Lumijoen sivistys- ja hyvinvointilautakunta myöntää vuosittain avustusta kulttuuritoimintaa edistäviin ja monipuolistaviin tarkoituksiin. Kulttuuritoiminnalla tarkoitetaan toimintaa, jolla edistetään kulttuurin ja taiteen tekemistä, harrastamista, saatavuutta ja käyttöä sekä taide- ja kulttuurikasvatusta ja kulttuuriperintöä. (laki kuntien kulttuuritoiminnasta 166/2019). Avustustoiminta on harkinnanvaraista ja kohdennettua. Kulttuuriavustus myönnetään kuluvan kalenterivuoden toimintaan. </w:t>
      </w:r>
    </w:p>
    <w:p w14:paraId="524844A4" w14:textId="43A2FCF1" w:rsidR="006071A5" w:rsidRDefault="006071A5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 xml:space="preserve">Avustuksia myönnettäessä otetaan huomioon seuraavat seikat: </w:t>
      </w:r>
    </w:p>
    <w:p w14:paraId="5ECE71DB" w14:textId="77777777" w:rsidR="00457AF9" w:rsidRPr="006071A5" w:rsidRDefault="00457AF9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</w:p>
    <w:p w14:paraId="397E3144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toiminnan tai tapahtuman laatu ja vaikuttavuus kunnan kulttuuritorjuntaan</w:t>
      </w:r>
    </w:p>
    <w:p w14:paraId="3934E328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yhteistyö eri toimijoiden välillä</w:t>
      </w:r>
    </w:p>
    <w:p w14:paraId="3CFB4D1F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kuntalaisten osallistumista ei rajoiteta yhteisön jäsenyyden, kutsun, aatteellisen näkemyksen, korkeamman maksun tai muun näihin verrattavan seikan perusteella</w:t>
      </w:r>
    </w:p>
    <w:p w14:paraId="0FCA8511" w14:textId="77777777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tapahtuman maksullisuus/maksuttomuus osallistujille</w:t>
      </w:r>
    </w:p>
    <w:p w14:paraId="675F98BE" w14:textId="30F2C343" w:rsidR="006071A5" w:rsidRDefault="006071A5" w:rsidP="006071A5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hakijan muualta saatavissa/saatu tuki</w:t>
      </w:r>
    </w:p>
    <w:p w14:paraId="3CA77799" w14:textId="77777777" w:rsidR="00457AF9" w:rsidRDefault="00457AF9" w:rsidP="00457AF9">
      <w:pPr>
        <w:pStyle w:val="Luettelokappale"/>
        <w:rPr>
          <w:b/>
          <w:bCs/>
          <w:sz w:val="24"/>
          <w:szCs w:val="24"/>
        </w:rPr>
      </w:pPr>
    </w:p>
    <w:p w14:paraId="59739A5F" w14:textId="67798B8C" w:rsidR="006071A5" w:rsidRPr="002978CC" w:rsidRDefault="002978CC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2978CC">
        <w:rPr>
          <w:rFonts w:ascii="Times New Roman" w:hAnsi="Times New Roman" w:cstheme="minorHAnsi"/>
          <w:b/>
          <w:bCs/>
          <w:sz w:val="24"/>
          <w:szCs w:val="24"/>
        </w:rPr>
        <w:t>Avustuksen saamisen ehtona on, että avustusta saava järjestö, työryhmä tai yksityinen henkilö sitoutuu järjestämään tapahtuman tai muutoin esiintymään tai tuomaan taidetta esille Lumijoen kunnassa avustuksen myöntämisvuonna tai sitä seuraavana vuonna.</w:t>
      </w:r>
    </w:p>
    <w:p w14:paraId="2C3B9D16" w14:textId="77777777" w:rsidR="002978CC" w:rsidRDefault="002978CC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</w:p>
    <w:p w14:paraId="42F61730" w14:textId="3CEB5C2A" w:rsidR="006071A5" w:rsidRDefault="006071A5" w:rsidP="006071A5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</w:rPr>
      </w:pPr>
      <w:r w:rsidRPr="006071A5">
        <w:rPr>
          <w:rFonts w:ascii="Times New Roman" w:hAnsi="Times New Roman" w:cstheme="minorHAnsi"/>
          <w:b/>
          <w:bCs/>
          <w:sz w:val="24"/>
          <w:szCs w:val="24"/>
        </w:rPr>
        <w:t>Ketkä voivat hakea:</w:t>
      </w:r>
    </w:p>
    <w:p w14:paraId="75E45CC2" w14:textId="7F987520" w:rsidR="006071A5" w:rsidRDefault="006071A5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Hakijana voivat olla rekisteröidyt seurat ja yhdistykset sekä rekisteröimättömät kulttuuritoimintaa harjoittavat ryhmät. Myös yksityiset aktiivisesti kulttuuritoimintaa harrastavat kuntalaiset</w:t>
      </w:r>
      <w:r w:rsidR="00C74A5F">
        <w:rPr>
          <w:rFonts w:ascii="Times New Roman" w:hAnsi="Times New Roman" w:cstheme="minorHAnsi"/>
          <w:sz w:val="24"/>
          <w:szCs w:val="24"/>
        </w:rPr>
        <w:t xml:space="preserve"> voivat hakea kulttuuriavustusta. </w:t>
      </w:r>
    </w:p>
    <w:p w14:paraId="02B5BD96" w14:textId="77777777" w:rsidR="00C74A5F" w:rsidRDefault="00C74A5F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theme="minorHAnsi"/>
          <w:sz w:val="24"/>
          <w:szCs w:val="24"/>
        </w:rPr>
        <w:t xml:space="preserve">Avustuksia ei myönnetä: </w:t>
      </w:r>
    </w:p>
    <w:p w14:paraId="1136C91C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yhdistysten perustamiseen</w:t>
      </w:r>
    </w:p>
    <w:p w14:paraId="7DCDF1B1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yritystoimintaan</w:t>
      </w:r>
    </w:p>
    <w:p w14:paraId="60BDFED2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proofErr w:type="gramStart"/>
      <w:r>
        <w:rPr>
          <w:rFonts w:ascii="Times New Roman" w:hAnsi="Times New Roman" w:cstheme="minorHAnsi"/>
          <w:sz w:val="24"/>
          <w:szCs w:val="24"/>
        </w:rPr>
        <w:t>tapahtumaan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jonka keskeinen tarkoitus on taloudellisen voiton tavoittelu</w:t>
      </w:r>
    </w:p>
    <w:p w14:paraId="73E5B14D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jos hakijan taloudellinen tilanne on niin heikko, ettei toiminnan jatkamiselle ole edellytyksiä</w:t>
      </w:r>
    </w:p>
    <w:p w14:paraId="4DCFD035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tutkintoon johtavaan ammatilliseen koulutukseen</w:t>
      </w:r>
    </w:p>
    <w:p w14:paraId="3873573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kokouskuluihin, virkistysmatkoihin, pikkujouluihin tai muuhun yhdistyksen, järjestön tai ryhmän sisäiseen toimintaan</w:t>
      </w:r>
    </w:p>
    <w:p w14:paraId="3BE5001E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kunnan omien tilojen vuokrauskustannuksiin</w:t>
      </w:r>
    </w:p>
    <w:p w14:paraId="5B424867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mihinkään sellaiseen </w:t>
      </w:r>
      <w:proofErr w:type="gramStart"/>
      <w:r>
        <w:rPr>
          <w:rFonts w:ascii="Times New Roman" w:hAnsi="Times New Roman" w:cstheme="minorHAnsi"/>
          <w:sz w:val="24"/>
          <w:szCs w:val="24"/>
        </w:rPr>
        <w:t>toimintaan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johon on haettu tai saatu kunnalta muuta tukea</w:t>
      </w:r>
    </w:p>
    <w:p w14:paraId="18E07887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767C961A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Kulttuuriavustuksia haetaan erillisellä lomakkeella. Hakemuksen mukana on toimitettava seuraavat liitteet:</w:t>
      </w:r>
    </w:p>
    <w:p w14:paraId="24975317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5C5B65B5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 w:rsidRPr="00C74A5F">
        <w:rPr>
          <w:rFonts w:ascii="Times New Roman" w:hAnsi="Times New Roman" w:cstheme="minorHAnsi"/>
          <w:b/>
          <w:bCs/>
          <w:sz w:val="24"/>
          <w:szCs w:val="24"/>
          <w:u w:val="single"/>
        </w:rPr>
        <w:t>Yhdistykset</w:t>
      </w:r>
      <w:r>
        <w:rPr>
          <w:rFonts w:ascii="Times New Roman" w:hAnsi="Times New Roman" w:cstheme="minorHAnsi"/>
          <w:b/>
          <w:bCs/>
          <w:sz w:val="24"/>
          <w:szCs w:val="24"/>
          <w:u w:val="single"/>
        </w:rPr>
        <w:t>:</w:t>
      </w:r>
    </w:p>
    <w:p w14:paraId="3959AE1E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edellisen vuoden toimintakertomus ja tilinpäätös (tilintarkastuskertomus)</w:t>
      </w:r>
    </w:p>
    <w:p w14:paraId="407974D0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kuluvan vuoden talousarvio</w:t>
      </w:r>
    </w:p>
    <w:p w14:paraId="0E832715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kuluvan vuoden toimintasuunnitelma</w:t>
      </w:r>
    </w:p>
    <w:p w14:paraId="587F0A19" w14:textId="77777777" w:rsidR="00C74A5F" w:rsidRP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sz w:val="24"/>
          <w:szCs w:val="24"/>
        </w:rPr>
        <w:t>yhdistyksen säännöt</w:t>
      </w:r>
    </w:p>
    <w:p w14:paraId="1CB34723" w14:textId="77777777" w:rsidR="00C74A5F" w:rsidRDefault="00C74A5F" w:rsidP="00C74A5F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</w:p>
    <w:p w14:paraId="24BCCC54" w14:textId="77777777" w:rsid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>
        <w:rPr>
          <w:rFonts w:ascii="Times New Roman" w:hAnsi="Times New Roman" w:cstheme="minorHAnsi"/>
          <w:b/>
          <w:bCs/>
          <w:sz w:val="24"/>
          <w:szCs w:val="24"/>
          <w:u w:val="single"/>
        </w:rPr>
        <w:t>Yksityishenkilö:</w:t>
      </w:r>
    </w:p>
    <w:p w14:paraId="79F77858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 w:rsidRPr="00C74A5F">
        <w:rPr>
          <w:rFonts w:ascii="Times New Roman" w:hAnsi="Times New Roman" w:cstheme="minorHAnsi"/>
          <w:sz w:val="24"/>
          <w:szCs w:val="24"/>
        </w:rPr>
        <w:t>ansioluettelo</w:t>
      </w:r>
    </w:p>
    <w:p w14:paraId="25D0D34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työsuunnitelma</w:t>
      </w:r>
    </w:p>
    <w:p w14:paraId="57457E97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kustannusarvio</w:t>
      </w:r>
    </w:p>
    <w:p w14:paraId="20164B1D" w14:textId="77777777" w:rsidR="00C74A5F" w:rsidRDefault="00C74A5F" w:rsidP="00C74A5F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p w14:paraId="124C4C5D" w14:textId="77777777" w:rsidR="00C74A5F" w:rsidRPr="00C74A5F" w:rsidRDefault="00C74A5F" w:rsidP="00C74A5F">
      <w:pPr>
        <w:spacing w:line="360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 w:rsidRPr="00C74A5F">
        <w:rPr>
          <w:rFonts w:ascii="Times New Roman" w:hAnsi="Times New Roman" w:cstheme="minorHAnsi"/>
          <w:b/>
          <w:bCs/>
          <w:sz w:val="24"/>
          <w:szCs w:val="24"/>
          <w:u w:val="single"/>
        </w:rPr>
        <w:t>Kulttuuria harjoittava ryhmä:</w:t>
      </w:r>
    </w:p>
    <w:p w14:paraId="141A4170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vastuuhenkilön yhteystiedot</w:t>
      </w:r>
    </w:p>
    <w:p w14:paraId="4E4D1B43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raportti ryhmän aiemmasta toiminnasta</w:t>
      </w:r>
    </w:p>
    <w:p w14:paraId="7F1BAE4E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työsuunnitelma</w:t>
      </w:r>
    </w:p>
    <w:p w14:paraId="63FAE5C9" w14:textId="77777777" w:rsidR="00C74A5F" w:rsidRDefault="00C74A5F" w:rsidP="00C74A5F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kustannusarvio</w:t>
      </w:r>
    </w:p>
    <w:p w14:paraId="2B4E4F2D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p w14:paraId="76402E30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 xml:space="preserve">Kulttuuriavustuksen saajan on toimitettava kulttuuritoimelle kirjallinen selvitys avustuksen käyttämisestä kuitteineen. Jos avustettava kohde muuttuu, avustus voidaan maksaa </w:t>
      </w:r>
      <w:proofErr w:type="gramStart"/>
      <w:r>
        <w:rPr>
          <w:rFonts w:ascii="Times New Roman" w:hAnsi="Times New Roman" w:cstheme="minorHAnsi"/>
          <w:sz w:val="24"/>
          <w:szCs w:val="24"/>
        </w:rPr>
        <w:t>vain</w:t>
      </w:r>
      <w:proofErr w:type="gramEnd"/>
      <w:r>
        <w:rPr>
          <w:rFonts w:ascii="Times New Roman" w:hAnsi="Times New Roman" w:cstheme="minorHAnsi"/>
          <w:sz w:val="24"/>
          <w:szCs w:val="24"/>
        </w:rPr>
        <w:t xml:space="preserve"> jos muutokseen on saatu kulttuuritoimelta lupa ennen toiminnan järjestämistä tai projektin aloittamista.</w:t>
      </w:r>
    </w:p>
    <w:p w14:paraId="1738D429" w14:textId="77777777" w:rsidR="00CF0764" w:rsidRDefault="00CF0764" w:rsidP="00CF0764">
      <w:p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Avustus voidaan vaatia palautettavaksi:</w:t>
      </w:r>
    </w:p>
    <w:p w14:paraId="7A2FF1F2" w14:textId="77777777" w:rsidR="00CF0764" w:rsidRDefault="00CF0764" w:rsidP="00CF076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jos varoja on käytetty muuhun kuin hakemuksessa ilmoitettu tarkoitukseen</w:t>
      </w:r>
    </w:p>
    <w:p w14:paraId="1C61D4F1" w14:textId="77777777" w:rsidR="00CF0764" w:rsidRDefault="00CF0764" w:rsidP="00CF0764">
      <w:pPr>
        <w:pStyle w:val="Luettelokappale"/>
        <w:numPr>
          <w:ilvl w:val="0"/>
          <w:numId w:val="1"/>
        </w:numPr>
        <w:spacing w:line="360" w:lineRule="auto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jos lautakunnalle on annettu virheellisiä tai harhaanjohtavia tietoja.</w:t>
      </w:r>
    </w:p>
    <w:p w14:paraId="7032D71F" w14:textId="77777777" w:rsidR="00CF0764" w:rsidRPr="00CF0764" w:rsidRDefault="00CF0764" w:rsidP="00CF0764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Lumijoen kunta julistaa kulttuuriavustukset haettaviksi kunnan internet- sivuilla ja kuntatiedotteessa. Hakemukset osoitetaan kunnan vapaa-aikatoimenohjaajalle. Myöhästyneitä hakemuksia ei käsitellä. Avustusten hakuasiakirjat, päätökset ja raportit ovat julkisia asiakirjoja. </w:t>
      </w:r>
    </w:p>
    <w:p w14:paraId="6973BB97" w14:textId="77777777" w:rsidR="00C74A5F" w:rsidRPr="00C74A5F" w:rsidRDefault="00C74A5F" w:rsidP="00C74A5F">
      <w:pPr>
        <w:spacing w:line="360" w:lineRule="auto"/>
        <w:ind w:left="360"/>
        <w:rPr>
          <w:rFonts w:ascii="Times New Roman" w:hAnsi="Times New Roman" w:cstheme="minorHAnsi"/>
          <w:sz w:val="24"/>
          <w:szCs w:val="24"/>
        </w:rPr>
      </w:pPr>
    </w:p>
    <w:p w14:paraId="17F08F76" w14:textId="77777777" w:rsidR="006071A5" w:rsidRPr="006071A5" w:rsidRDefault="006071A5" w:rsidP="006071A5">
      <w:pPr>
        <w:spacing w:line="360" w:lineRule="auto"/>
        <w:rPr>
          <w:rFonts w:ascii="Times New Roman" w:hAnsi="Times New Roman" w:cstheme="minorHAnsi"/>
          <w:sz w:val="24"/>
          <w:szCs w:val="24"/>
        </w:rPr>
      </w:pPr>
    </w:p>
    <w:sectPr w:rsidR="006071A5" w:rsidRPr="006071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2437"/>
    <w:multiLevelType w:val="hybridMultilevel"/>
    <w:tmpl w:val="91BC6934"/>
    <w:lvl w:ilvl="0" w:tplc="4DFAE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8D"/>
    <w:rsid w:val="002978CC"/>
    <w:rsid w:val="00457AF9"/>
    <w:rsid w:val="006071A5"/>
    <w:rsid w:val="00615214"/>
    <w:rsid w:val="008F0AAB"/>
    <w:rsid w:val="00A300AD"/>
    <w:rsid w:val="00C74A5F"/>
    <w:rsid w:val="00CF0764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6C87"/>
  <w15:chartTrackingRefBased/>
  <w15:docId w15:val="{DD93CEF1-FA08-4550-9206-A81E0E5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Tranberg</dc:creator>
  <cp:keywords/>
  <dc:description/>
  <cp:lastModifiedBy>Riitta Tranberg</cp:lastModifiedBy>
  <cp:revision>2</cp:revision>
  <dcterms:created xsi:type="dcterms:W3CDTF">2020-02-28T08:53:00Z</dcterms:created>
  <dcterms:modified xsi:type="dcterms:W3CDTF">2020-02-28T08:53:00Z</dcterms:modified>
</cp:coreProperties>
</file>